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Baromètre Alliance Capital de la maturité des projets à impact</w:t>
      </w:r>
    </w:p>
    <w:p>
      <w:r>
        <w:rPr>
          <w:b/>
          <w:color w:val="B38332"/>
          <w:sz w:val="28"/>
        </w:rPr>
        <w:t>Guide de conception, questionnaire, notation et commercialisation</w:t>
      </w:r>
    </w:p>
    <w:p>
      <w:r>
        <w:t>Version pilote 2026–2027</w:t>
      </w:r>
    </w:p>
    <w:p>
      <w:r>
        <w:br/>
        <w:t>Un outil professionnel conçu pour mesurer la capacité réelle d’un porteur à financer, organiser, mettre en œuvre, suivre et pérenniser son projet. Il s’adresse aux associations, entrepreneurs sociaux, organisations de diaspora et partenaires intervenant notamment en Afrique et à l’international.</w:t>
      </w:r>
    </w:p>
    <w:p>
      <w:r>
        <w:t>Éditeur : Alliance Capital SAS</w:t>
        <w:br/>
        <w:t>Positionnement : ingénierie financière et de projets, accompagnement juridique et stratégique, mise en œuvre et reporting.</w:t>
      </w:r>
    </w:p>
    <w:p>
      <w:r>
        <w:br w:type="page"/>
      </w:r>
    </w:p>
    <w:p>
      <w:pPr>
        <w:pStyle w:val="Heading1"/>
      </w:pPr>
      <w:r>
        <w:t>1 Finalité du baromètre</w:t>
      </w:r>
    </w:p>
    <w:p>
      <w:r>
        <w:t>Le baromètre produit un diagnostic structuré sur 100. Il aide le porteur à reconnaître ses acquis, ses fragilités et ses priorités de travail. Il ne prédit pas l’obtention d’une subvention et ne remplace ni l’analyse d’un règlement d’appel à projets ni l’avis d’un professionnel.</w:t>
      </w:r>
    </w:p>
    <w:p>
      <w:r>
        <w:t>Question directrice : dans quelle mesure le porteur est-il réellement prêt à présenter, financer, mettre en œuvre et rendre compte de son projet ?</w:t>
      </w:r>
    </w:p>
    <w:p>
      <w:pPr>
        <w:pStyle w:val="Heading1"/>
      </w:pPr>
      <w:r>
        <w:t>2 Publics et usages</w:t>
      </w:r>
    </w:p>
    <w:p>
      <w:pPr>
        <w:pStyle w:val="ListBullet"/>
      </w:pPr>
      <w:r>
        <w:t>Associations et organisations de solidarité internationale</w:t>
      </w:r>
    </w:p>
    <w:p>
      <w:pPr>
        <w:pStyle w:val="ListBullet"/>
      </w:pPr>
      <w:r>
        <w:t>Entrepreneurs sociaux et structures de l’économie sociale et solidaire</w:t>
      </w:r>
    </w:p>
    <w:p>
      <w:pPr>
        <w:pStyle w:val="ListBullet"/>
      </w:pPr>
      <w:r>
        <w:t>Organisations de diaspora conduisant des actions dans leur pays d’origine</w:t>
      </w:r>
    </w:p>
    <w:p>
      <w:pPr>
        <w:pStyle w:val="ListBullet"/>
      </w:pPr>
      <w:r>
        <w:t>Partenaires locaux chargés de la mise en œuvre</w:t>
      </w:r>
    </w:p>
    <w:p>
      <w:pPr>
        <w:pStyle w:val="ListBullet"/>
      </w:pPr>
      <w:r>
        <w:t>Financeurs et réseaux d’accompagnement souhaitant repérer les besoins récurrents</w:t>
      </w:r>
    </w:p>
    <w:p>
      <w:pPr>
        <w:pStyle w:val="Heading1"/>
      </w:pPr>
      <w:r>
        <w:t>3 Échelle de réponse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792"/>
        <w:gridCol w:w="3168"/>
        <w:gridCol w:w="6120"/>
      </w:tblGrid>
      <w:tr>
        <w:trPr>
          <w:tblHeader w:val="true"/>
          <w:cantSplit/>
        </w:trPr>
        <w:tc>
          <w:tcPr>
            <w:tcW w:type="dxa" w:w="792"/>
            <w:vAlign w:val="center"/>
            <w:shd w:fill="17324D"/>
          </w:tcPr>
          <w:p>
            <w:r/>
            <w:r>
              <w:rPr>
                <w:rFonts w:ascii="Arial" w:hAnsi="Arial"/>
                <w:b/>
                <w:color w:val="FFFFFF"/>
                <w:sz w:val="18"/>
              </w:rPr>
              <w:t>Note</w:t>
            </w:r>
          </w:p>
        </w:tc>
        <w:tc>
          <w:tcPr>
            <w:tcW w:type="dxa" w:w="3168"/>
            <w:vAlign w:val="center"/>
            <w:shd w:fill="17324D"/>
          </w:tcPr>
          <w:p>
            <w:r/>
            <w:r>
              <w:rPr>
                <w:rFonts w:ascii="Arial" w:hAnsi="Arial"/>
                <w:b/>
                <w:color w:val="FFFFFF"/>
                <w:sz w:val="18"/>
              </w:rPr>
              <w:t>Situation observée</w:t>
            </w:r>
          </w:p>
        </w:tc>
        <w:tc>
          <w:tcPr>
            <w:tcW w:type="dxa" w:w="6120"/>
            <w:vAlign w:val="center"/>
            <w:shd w:fill="17324D"/>
          </w:tcPr>
          <w:p>
            <w:r/>
            <w:r>
              <w:rPr>
                <w:rFonts w:ascii="Arial" w:hAnsi="Arial"/>
                <w:b/>
                <w:color w:val="FFFFFF"/>
                <w:sz w:val="18"/>
              </w:rPr>
              <w:t>Preuve attendue</w:t>
            </w:r>
          </w:p>
        </w:tc>
      </w:tr>
      <w:tr>
        <w:trPr>
          <w:cantSplit/>
        </w:trPr>
        <w:tc>
          <w:tcPr>
            <w:tcW w:type="dxa" w:w="792"/>
            <w:vAlign w:val="center"/>
          </w:tcPr>
          <w:p>
            <w:r/>
            <w:r>
              <w:rPr>
                <w:rFonts w:ascii="Arial" w:hAnsi="Arial"/>
                <w:b w:val="0"/>
                <w:color w:val="000000"/>
                <w:sz w:val="18"/>
              </w:rPr>
              <w:t>0</w:t>
            </w:r>
          </w:p>
        </w:tc>
        <w:tc>
          <w:tcPr>
            <w:tcW w:type="dxa" w:w="3168"/>
            <w:vAlign w:val="center"/>
          </w:tcPr>
          <w:p>
            <w:r/>
            <w:r>
              <w:rPr>
                <w:rFonts w:ascii="Arial" w:hAnsi="Arial"/>
                <w:b w:val="0"/>
                <w:color w:val="000000"/>
                <w:sz w:val="18"/>
              </w:rPr>
              <w:t>Absent</w:t>
            </w:r>
          </w:p>
        </w:tc>
        <w:tc>
          <w:tcPr>
            <w:tcW w:type="dxa" w:w="6120"/>
            <w:vAlign w:val="center"/>
          </w:tcPr>
          <w:p>
            <w:r/>
            <w:r>
              <w:rPr>
                <w:rFonts w:ascii="Arial" w:hAnsi="Arial"/>
                <w:b w:val="0"/>
                <w:color w:val="000000"/>
                <w:sz w:val="18"/>
              </w:rPr>
              <w:t>Aucun élément disponible</w:t>
            </w:r>
          </w:p>
        </w:tc>
      </w:tr>
      <w:tr>
        <w:trPr>
          <w:cantSplit/>
        </w:trPr>
        <w:tc>
          <w:tcPr>
            <w:tcW w:type="dxa" w:w="792"/>
            <w:vAlign w:val="center"/>
          </w:tcPr>
          <w:p>
            <w:r/>
            <w:r>
              <w:rPr>
                <w:rFonts w:ascii="Arial" w:hAnsi="Arial"/>
                <w:b w:val="0"/>
                <w:color w:val="000000"/>
                <w:sz w:val="18"/>
              </w:rPr>
              <w:t>1</w:t>
            </w:r>
          </w:p>
        </w:tc>
        <w:tc>
          <w:tcPr>
            <w:tcW w:type="dxa" w:w="3168"/>
            <w:vAlign w:val="center"/>
          </w:tcPr>
          <w:p>
            <w:r/>
            <w:r>
              <w:rPr>
                <w:rFonts w:ascii="Arial" w:hAnsi="Arial"/>
                <w:b w:val="0"/>
                <w:color w:val="000000"/>
                <w:sz w:val="18"/>
              </w:rPr>
              <w:t>À engager</w:t>
            </w:r>
          </w:p>
        </w:tc>
        <w:tc>
          <w:tcPr>
            <w:tcW w:type="dxa" w:w="6120"/>
            <w:vAlign w:val="center"/>
          </w:tcPr>
          <w:p>
            <w:r/>
            <w:r>
              <w:rPr>
                <w:rFonts w:ascii="Arial" w:hAnsi="Arial"/>
                <w:b w:val="0"/>
                <w:color w:val="000000"/>
                <w:sz w:val="18"/>
              </w:rPr>
              <w:t>Idée évoquée sans organisation</w:t>
            </w:r>
          </w:p>
        </w:tc>
      </w:tr>
      <w:tr>
        <w:trPr>
          <w:cantSplit/>
        </w:trPr>
        <w:tc>
          <w:tcPr>
            <w:tcW w:type="dxa" w:w="792"/>
            <w:vAlign w:val="center"/>
          </w:tcPr>
          <w:p>
            <w:r/>
            <w:r>
              <w:rPr>
                <w:rFonts w:ascii="Arial" w:hAnsi="Arial"/>
                <w:b w:val="0"/>
                <w:color w:val="000000"/>
                <w:sz w:val="18"/>
              </w:rPr>
              <w:t>2</w:t>
            </w:r>
          </w:p>
        </w:tc>
        <w:tc>
          <w:tcPr>
            <w:tcW w:type="dxa" w:w="3168"/>
            <w:vAlign w:val="center"/>
          </w:tcPr>
          <w:p>
            <w:r/>
            <w:r>
              <w:rPr>
                <w:rFonts w:ascii="Arial" w:hAnsi="Arial"/>
                <w:b w:val="0"/>
                <w:color w:val="000000"/>
                <w:sz w:val="18"/>
              </w:rPr>
              <w:t>Partiellement préparé</w:t>
            </w:r>
          </w:p>
        </w:tc>
        <w:tc>
          <w:tcPr>
            <w:tcW w:type="dxa" w:w="6120"/>
            <w:vAlign w:val="center"/>
          </w:tcPr>
          <w:p>
            <w:r/>
            <w:r>
              <w:rPr>
                <w:rFonts w:ascii="Arial" w:hAnsi="Arial"/>
                <w:b w:val="0"/>
                <w:color w:val="000000"/>
                <w:sz w:val="18"/>
              </w:rPr>
              <w:t>Éléments incomplets ou non vérifiés</w:t>
            </w:r>
          </w:p>
        </w:tc>
      </w:tr>
      <w:tr>
        <w:trPr>
          <w:cantSplit/>
        </w:trPr>
        <w:tc>
          <w:tcPr>
            <w:tcW w:type="dxa" w:w="792"/>
            <w:vAlign w:val="center"/>
          </w:tcPr>
          <w:p>
            <w:r/>
            <w:r>
              <w:rPr>
                <w:rFonts w:ascii="Arial" w:hAnsi="Arial"/>
                <w:b w:val="0"/>
                <w:color w:val="000000"/>
                <w:sz w:val="18"/>
              </w:rPr>
              <w:t>3</w:t>
            </w:r>
          </w:p>
        </w:tc>
        <w:tc>
          <w:tcPr>
            <w:tcW w:type="dxa" w:w="3168"/>
            <w:vAlign w:val="center"/>
          </w:tcPr>
          <w:p>
            <w:r/>
            <w:r>
              <w:rPr>
                <w:rFonts w:ascii="Arial" w:hAnsi="Arial"/>
                <w:b w:val="0"/>
                <w:color w:val="000000"/>
                <w:sz w:val="18"/>
              </w:rPr>
              <w:t>Structuré</w:t>
            </w:r>
          </w:p>
        </w:tc>
        <w:tc>
          <w:tcPr>
            <w:tcW w:type="dxa" w:w="6120"/>
            <w:vAlign w:val="center"/>
          </w:tcPr>
          <w:p>
            <w:r/>
            <w:r>
              <w:rPr>
                <w:rFonts w:ascii="Arial" w:hAnsi="Arial"/>
                <w:b w:val="0"/>
                <w:color w:val="000000"/>
                <w:sz w:val="18"/>
              </w:rPr>
              <w:t>Éléments cohérents et preuves disponibles</w:t>
            </w:r>
          </w:p>
        </w:tc>
      </w:tr>
      <w:tr>
        <w:trPr>
          <w:cantSplit/>
        </w:trPr>
        <w:tc>
          <w:tcPr>
            <w:tcW w:type="dxa" w:w="792"/>
            <w:vAlign w:val="center"/>
          </w:tcPr>
          <w:p>
            <w:r/>
            <w:r>
              <w:rPr>
                <w:rFonts w:ascii="Arial" w:hAnsi="Arial"/>
                <w:b w:val="0"/>
                <w:color w:val="000000"/>
                <w:sz w:val="18"/>
              </w:rPr>
              <w:t>4</w:t>
            </w:r>
          </w:p>
        </w:tc>
        <w:tc>
          <w:tcPr>
            <w:tcW w:type="dxa" w:w="3168"/>
            <w:vAlign w:val="center"/>
          </w:tcPr>
          <w:p>
            <w:r/>
            <w:r>
              <w:rPr>
                <w:rFonts w:ascii="Arial" w:hAnsi="Arial"/>
                <w:b w:val="0"/>
                <w:color w:val="000000"/>
                <w:sz w:val="18"/>
              </w:rPr>
              <w:t>Maîtrisé</w:t>
            </w:r>
          </w:p>
        </w:tc>
        <w:tc>
          <w:tcPr>
            <w:tcW w:type="dxa" w:w="6120"/>
            <w:vAlign w:val="center"/>
          </w:tcPr>
          <w:p>
            <w:r/>
            <w:r>
              <w:rPr>
                <w:rFonts w:ascii="Arial" w:hAnsi="Arial"/>
                <w:b w:val="0"/>
                <w:color w:val="000000"/>
                <w:sz w:val="18"/>
              </w:rPr>
              <w:t>Dispositif testé, actualisé et utilisé par l’équipe</w:t>
            </w:r>
          </w:p>
        </w:tc>
      </w:tr>
    </w:tbl>
    <w:p>
      <w:pPr>
        <w:pStyle w:val="Heading1"/>
      </w:pPr>
      <w:r>
        <w:t>4 Questionnaire complet</w:t>
      </w:r>
    </w:p>
    <w:p>
      <w:r>
        <w:t>Pour chaque affirmation, attribuez une note de 0 à 4 en vous fondant sur les éléments réellement disponibles aujourd’hui. Une intention non documentée ne doit pas recevoir la même note qu’une pratique déjà testée.</w:t>
      </w:r>
    </w:p>
    <w:p>
      <w:pPr>
        <w:pStyle w:val="Heading2"/>
      </w:pPr>
      <w:r>
        <w:t>Vision et pertinence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1</w:t>
            </w:r>
          </w:p>
        </w:tc>
        <w:tc>
          <w:tcPr>
            <w:tcW w:type="dxa" w:w="8424"/>
            <w:vAlign w:val="center"/>
          </w:tcPr>
          <w:p>
            <w:r/>
            <w:r>
              <w:rPr>
                <w:rFonts w:ascii="Arial" w:hAnsi="Arial"/>
                <w:b w:val="0"/>
                <w:color w:val="000000"/>
                <w:sz w:val="17"/>
              </w:rPr>
              <w:t>Le problème auquel répond le projet est décrit à partir de faits observables.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w:t>
            </w:r>
          </w:p>
        </w:tc>
        <w:tc>
          <w:tcPr>
            <w:tcW w:type="dxa" w:w="8424"/>
            <w:vAlign w:val="center"/>
          </w:tcPr>
          <w:p>
            <w:r/>
            <w:r>
              <w:rPr>
                <w:rFonts w:ascii="Arial" w:hAnsi="Arial"/>
                <w:b w:val="0"/>
                <w:color w:val="000000"/>
                <w:sz w:val="17"/>
              </w:rPr>
              <w:t>Les bénéficiaires sont précisément identifiés et leur nombre est estimé.</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w:t>
            </w:r>
          </w:p>
        </w:tc>
        <w:tc>
          <w:tcPr>
            <w:tcW w:type="dxa" w:w="8424"/>
            <w:vAlign w:val="center"/>
          </w:tcPr>
          <w:p>
            <w:r/>
            <w:r>
              <w:rPr>
                <w:rFonts w:ascii="Arial" w:hAnsi="Arial"/>
                <w:b w:val="0"/>
                <w:color w:val="000000"/>
                <w:sz w:val="17"/>
              </w:rPr>
              <w:t>Les besoins ont été vérifiés auprès des personnes concernées ou d’acteurs du terrain.</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4</w:t>
            </w:r>
          </w:p>
        </w:tc>
        <w:tc>
          <w:tcPr>
            <w:tcW w:type="dxa" w:w="8424"/>
            <w:vAlign w:val="center"/>
          </w:tcPr>
          <w:p>
            <w:r/>
            <w:r>
              <w:rPr>
                <w:rFonts w:ascii="Arial" w:hAnsi="Arial"/>
                <w:b w:val="0"/>
                <w:color w:val="000000"/>
                <w:sz w:val="17"/>
              </w:rPr>
              <w:t>La réponse proposée tient compte du contexte local, des usages et des contraintes.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5</w:t>
            </w:r>
          </w:p>
        </w:tc>
        <w:tc>
          <w:tcPr>
            <w:tcW w:type="dxa" w:w="8424"/>
            <w:vAlign w:val="center"/>
          </w:tcPr>
          <w:p>
            <w:r/>
            <w:r>
              <w:rPr>
                <w:rFonts w:ascii="Arial" w:hAnsi="Arial"/>
                <w:b w:val="0"/>
                <w:color w:val="000000"/>
                <w:sz w:val="17"/>
              </w:rPr>
              <w:t>Les objectifs sont précis, réalistes et reliés au problème constaté.</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6</w:t>
            </w:r>
          </w:p>
        </w:tc>
        <w:tc>
          <w:tcPr>
            <w:tcW w:type="dxa" w:w="8424"/>
            <w:vAlign w:val="center"/>
          </w:tcPr>
          <w:p>
            <w:r/>
            <w:r>
              <w:rPr>
                <w:rFonts w:ascii="Arial" w:hAnsi="Arial"/>
                <w:b w:val="0"/>
                <w:color w:val="000000"/>
                <w:sz w:val="17"/>
              </w:rPr>
              <w:t>Le projet complète les actions existantes au lieu de les reproduire sans justification.</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pPr>
        <w:pStyle w:val="Heading2"/>
      </w:pPr>
      <w:r>
        <w:t>Structuration technique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7</w:t>
            </w:r>
          </w:p>
        </w:tc>
        <w:tc>
          <w:tcPr>
            <w:tcW w:type="dxa" w:w="8424"/>
            <w:vAlign w:val="center"/>
          </w:tcPr>
          <w:p>
            <w:r/>
            <w:r>
              <w:rPr>
                <w:rFonts w:ascii="Arial" w:hAnsi="Arial"/>
                <w:b w:val="0"/>
                <w:color w:val="000000"/>
                <w:sz w:val="17"/>
              </w:rPr>
              <w:t>Les principales activités sont décrites dans un ordre logique.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8</w:t>
            </w:r>
          </w:p>
        </w:tc>
        <w:tc>
          <w:tcPr>
            <w:tcW w:type="dxa" w:w="8424"/>
            <w:vAlign w:val="center"/>
          </w:tcPr>
          <w:p>
            <w:r/>
            <w:r>
              <w:rPr>
                <w:rFonts w:ascii="Arial" w:hAnsi="Arial"/>
                <w:b w:val="0"/>
                <w:color w:val="000000"/>
                <w:sz w:val="17"/>
              </w:rPr>
              <w:t>Un calendrier réaliste précise les étapes, les responsables et les échéances.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9</w:t>
            </w:r>
          </w:p>
        </w:tc>
        <w:tc>
          <w:tcPr>
            <w:tcW w:type="dxa" w:w="8424"/>
            <w:vAlign w:val="center"/>
          </w:tcPr>
          <w:p>
            <w:r/>
            <w:r>
              <w:rPr>
                <w:rFonts w:ascii="Arial" w:hAnsi="Arial"/>
                <w:b w:val="0"/>
                <w:color w:val="000000"/>
                <w:sz w:val="17"/>
              </w:rPr>
              <w:t>Les moyens humains, matériels et logistiques nécessaires sont identifiés.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10</w:t>
            </w:r>
          </w:p>
        </w:tc>
        <w:tc>
          <w:tcPr>
            <w:tcW w:type="dxa" w:w="8424"/>
            <w:vAlign w:val="center"/>
          </w:tcPr>
          <w:p>
            <w:r/>
            <w:r>
              <w:rPr>
                <w:rFonts w:ascii="Arial" w:hAnsi="Arial"/>
                <w:b w:val="0"/>
                <w:color w:val="000000"/>
                <w:sz w:val="17"/>
              </w:rPr>
              <w:t>Chaque activité est reliée à un résultat attendu et vérifiable.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11</w:t>
            </w:r>
          </w:p>
        </w:tc>
        <w:tc>
          <w:tcPr>
            <w:tcW w:type="dxa" w:w="8424"/>
            <w:vAlign w:val="center"/>
          </w:tcPr>
          <w:p>
            <w:r/>
            <w:r>
              <w:rPr>
                <w:rFonts w:ascii="Arial" w:hAnsi="Arial"/>
                <w:b w:val="0"/>
                <w:color w:val="000000"/>
                <w:sz w:val="17"/>
              </w:rPr>
              <w:t>Les autorisations, normes ou contraintes techniques ont été recensées.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12</w:t>
            </w:r>
          </w:p>
        </w:tc>
        <w:tc>
          <w:tcPr>
            <w:tcW w:type="dxa" w:w="8424"/>
            <w:vAlign w:val="center"/>
          </w:tcPr>
          <w:p>
            <w:r/>
            <w:r>
              <w:rPr>
                <w:rFonts w:ascii="Arial" w:hAnsi="Arial"/>
                <w:b w:val="0"/>
                <w:color w:val="000000"/>
                <w:sz w:val="17"/>
              </w:rPr>
              <w:t>Les principaux risques et les solutions de repli sont prévus.</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pPr>
        <w:pStyle w:val="Heading2"/>
      </w:pPr>
      <w:r>
        <w:t>Préparation financière</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13</w:t>
            </w:r>
          </w:p>
        </w:tc>
        <w:tc>
          <w:tcPr>
            <w:tcW w:type="dxa" w:w="8424"/>
            <w:vAlign w:val="center"/>
          </w:tcPr>
          <w:p>
            <w:r/>
            <w:r>
              <w:rPr>
                <w:rFonts w:ascii="Arial" w:hAnsi="Arial"/>
                <w:b w:val="0"/>
                <w:color w:val="000000"/>
                <w:sz w:val="17"/>
              </w:rPr>
              <w:t>Le budget est détaillé par activité et par nature de dépense.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14</w:t>
            </w:r>
          </w:p>
        </w:tc>
        <w:tc>
          <w:tcPr>
            <w:tcW w:type="dxa" w:w="8424"/>
            <w:vAlign w:val="center"/>
          </w:tcPr>
          <w:p>
            <w:r/>
            <w:r>
              <w:rPr>
                <w:rFonts w:ascii="Arial" w:hAnsi="Arial"/>
                <w:b w:val="0"/>
                <w:color w:val="000000"/>
                <w:sz w:val="17"/>
              </w:rPr>
              <w:t>Les montants importants reposent sur des devis ou estimations récentes.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15</w:t>
            </w:r>
          </w:p>
        </w:tc>
        <w:tc>
          <w:tcPr>
            <w:tcW w:type="dxa" w:w="8424"/>
            <w:vAlign w:val="center"/>
          </w:tcPr>
          <w:p>
            <w:r/>
            <w:r>
              <w:rPr>
                <w:rFonts w:ascii="Arial" w:hAnsi="Arial"/>
                <w:b w:val="0"/>
                <w:color w:val="000000"/>
                <w:sz w:val="17"/>
              </w:rPr>
              <w:t>Les dépenses admissibles et non admissibles du financeur sont identifiées.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16</w:t>
            </w:r>
          </w:p>
        </w:tc>
        <w:tc>
          <w:tcPr>
            <w:tcW w:type="dxa" w:w="8424"/>
            <w:vAlign w:val="center"/>
          </w:tcPr>
          <w:p>
            <w:r/>
            <w:r>
              <w:rPr>
                <w:rFonts w:ascii="Arial" w:hAnsi="Arial"/>
                <w:b w:val="0"/>
                <w:color w:val="000000"/>
                <w:sz w:val="17"/>
              </w:rPr>
              <w:t>Les apports propres, cofinancements et contributions en nature sont justifiés.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17</w:t>
            </w:r>
          </w:p>
        </w:tc>
        <w:tc>
          <w:tcPr>
            <w:tcW w:type="dxa" w:w="8424"/>
            <w:vAlign w:val="center"/>
          </w:tcPr>
          <w:p>
            <w:r/>
            <w:r>
              <w:rPr>
                <w:rFonts w:ascii="Arial" w:hAnsi="Arial"/>
                <w:b w:val="0"/>
                <w:color w:val="000000"/>
                <w:sz w:val="17"/>
              </w:rPr>
              <w:t>Les besoins de trésorerie et le calendrier des versements ont été anticipés.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18</w:t>
            </w:r>
          </w:p>
        </w:tc>
        <w:tc>
          <w:tcPr>
            <w:tcW w:type="dxa" w:w="8424"/>
            <w:vAlign w:val="center"/>
          </w:tcPr>
          <w:p>
            <w:r/>
            <w:r>
              <w:rPr>
                <w:rFonts w:ascii="Arial" w:hAnsi="Arial"/>
                <w:b w:val="0"/>
                <w:color w:val="000000"/>
                <w:sz w:val="17"/>
              </w:rPr>
              <w:t>Les coûts futurs de fonctionnement et d’entretien sont pris en compte.</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r>
        <w:br w:type="page"/>
      </w:r>
    </w:p>
    <w:p>
      <w:pPr>
        <w:pStyle w:val="Heading2"/>
      </w:pPr>
      <w:r>
        <w:t>Gouvernance et partenariats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19</w:t>
            </w:r>
          </w:p>
        </w:tc>
        <w:tc>
          <w:tcPr>
            <w:tcW w:type="dxa" w:w="8424"/>
            <w:vAlign w:val="center"/>
          </w:tcPr>
          <w:p>
            <w:r/>
            <w:r>
              <w:rPr>
                <w:rFonts w:ascii="Arial" w:hAnsi="Arial"/>
                <w:b w:val="0"/>
                <w:color w:val="000000"/>
                <w:sz w:val="17"/>
              </w:rPr>
              <w:t>Les rôles du porteur, du partenaire local et des intervenants sont écrits.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20</w:t>
            </w:r>
          </w:p>
        </w:tc>
        <w:tc>
          <w:tcPr>
            <w:tcW w:type="dxa" w:w="8424"/>
            <w:vAlign w:val="center"/>
          </w:tcPr>
          <w:p>
            <w:r/>
            <w:r>
              <w:rPr>
                <w:rFonts w:ascii="Arial" w:hAnsi="Arial"/>
                <w:b w:val="0"/>
                <w:color w:val="000000"/>
                <w:sz w:val="17"/>
              </w:rPr>
              <w:t>Les personnes chargées des décisions et des validations sont identifiées.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21</w:t>
            </w:r>
          </w:p>
        </w:tc>
        <w:tc>
          <w:tcPr>
            <w:tcW w:type="dxa" w:w="8424"/>
            <w:vAlign w:val="center"/>
          </w:tcPr>
          <w:p>
            <w:r/>
            <w:r>
              <w:rPr>
                <w:rFonts w:ascii="Arial" w:hAnsi="Arial"/>
                <w:b w:val="0"/>
                <w:color w:val="000000"/>
                <w:sz w:val="17"/>
              </w:rPr>
              <w:t>Les partenaires essentiels ont confirmé leur participation ou sont en discussion avancée.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22</w:t>
            </w:r>
          </w:p>
        </w:tc>
        <w:tc>
          <w:tcPr>
            <w:tcW w:type="dxa" w:w="8424"/>
            <w:vAlign w:val="center"/>
          </w:tcPr>
          <w:p>
            <w:r/>
            <w:r>
              <w:rPr>
                <w:rFonts w:ascii="Arial" w:hAnsi="Arial"/>
                <w:b w:val="0"/>
                <w:color w:val="000000"/>
                <w:sz w:val="17"/>
              </w:rPr>
              <w:t>Les compétences de l’équipe correspondent aux tâches à réaliser.</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23</w:t>
            </w:r>
          </w:p>
        </w:tc>
        <w:tc>
          <w:tcPr>
            <w:tcW w:type="dxa" w:w="8424"/>
            <w:vAlign w:val="center"/>
          </w:tcPr>
          <w:p>
            <w:r/>
            <w:r>
              <w:rPr>
                <w:rFonts w:ascii="Arial" w:hAnsi="Arial"/>
                <w:b w:val="0"/>
                <w:color w:val="000000"/>
                <w:sz w:val="17"/>
              </w:rPr>
              <w:t>Les modalités de circulation de l’information et de résolution des désaccords sont prévues.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24</w:t>
            </w:r>
          </w:p>
        </w:tc>
        <w:tc>
          <w:tcPr>
            <w:tcW w:type="dxa" w:w="8424"/>
            <w:vAlign w:val="center"/>
          </w:tcPr>
          <w:p>
            <w:r/>
            <w:r>
              <w:rPr>
                <w:rFonts w:ascii="Arial" w:hAnsi="Arial"/>
                <w:b w:val="0"/>
                <w:color w:val="000000"/>
                <w:sz w:val="17"/>
              </w:rPr>
              <w:t>Les engagements importants sont encadrés par des conventions ou documents écrits.</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pPr>
        <w:pStyle w:val="Heading2"/>
      </w:pPr>
      <w:r>
        <w:t>Mise en œuvre et gestion</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25</w:t>
            </w:r>
          </w:p>
        </w:tc>
        <w:tc>
          <w:tcPr>
            <w:tcW w:type="dxa" w:w="8424"/>
            <w:vAlign w:val="center"/>
          </w:tcPr>
          <w:p>
            <w:r/>
            <w:r>
              <w:rPr>
                <w:rFonts w:ascii="Arial" w:hAnsi="Arial"/>
                <w:b w:val="0"/>
                <w:color w:val="000000"/>
                <w:sz w:val="17"/>
              </w:rPr>
              <w:t>La procédure d’achat, de paiement et de validation des dépenses est définie.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26</w:t>
            </w:r>
          </w:p>
        </w:tc>
        <w:tc>
          <w:tcPr>
            <w:tcW w:type="dxa" w:w="8424"/>
            <w:vAlign w:val="center"/>
          </w:tcPr>
          <w:p>
            <w:r/>
            <w:r>
              <w:rPr>
                <w:rFonts w:ascii="Arial" w:hAnsi="Arial"/>
                <w:b w:val="0"/>
                <w:color w:val="000000"/>
                <w:sz w:val="17"/>
              </w:rPr>
              <w:t>Un système de classement relie chaque justificatif à la ligne budgétaire correspondante.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27</w:t>
            </w:r>
          </w:p>
        </w:tc>
        <w:tc>
          <w:tcPr>
            <w:tcW w:type="dxa" w:w="8424"/>
            <w:vAlign w:val="center"/>
          </w:tcPr>
          <w:p>
            <w:r/>
            <w:r>
              <w:rPr>
                <w:rFonts w:ascii="Arial" w:hAnsi="Arial"/>
                <w:b w:val="0"/>
                <w:color w:val="000000"/>
                <w:sz w:val="17"/>
              </w:rPr>
              <w:t>La disponibilité des fournisseurs, équipements et ressources locales a été vérifiée.</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28</w:t>
            </w:r>
          </w:p>
        </w:tc>
        <w:tc>
          <w:tcPr>
            <w:tcW w:type="dxa" w:w="8424"/>
            <w:vAlign w:val="center"/>
          </w:tcPr>
          <w:p>
            <w:r/>
            <w:r>
              <w:rPr>
                <w:rFonts w:ascii="Arial" w:hAnsi="Arial"/>
                <w:b w:val="0"/>
                <w:color w:val="000000"/>
                <w:sz w:val="17"/>
              </w:rPr>
              <w:t>L’équipe sait comment documenter chaque activité avec les preuves attendues.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29</w:t>
            </w:r>
          </w:p>
        </w:tc>
        <w:tc>
          <w:tcPr>
            <w:tcW w:type="dxa" w:w="8424"/>
            <w:vAlign w:val="center"/>
          </w:tcPr>
          <w:p>
            <w:r/>
            <w:r>
              <w:rPr>
                <w:rFonts w:ascii="Arial" w:hAnsi="Arial"/>
                <w:b w:val="0"/>
                <w:color w:val="000000"/>
                <w:sz w:val="17"/>
              </w:rPr>
              <w:t>Un responsable suit l’avancement, les dépenses et les difficultés.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30</w:t>
            </w:r>
          </w:p>
        </w:tc>
        <w:tc>
          <w:tcPr>
            <w:tcW w:type="dxa" w:w="8424"/>
            <w:vAlign w:val="center"/>
          </w:tcPr>
          <w:p>
            <w:r/>
            <w:r>
              <w:rPr>
                <w:rFonts w:ascii="Arial" w:hAnsi="Arial"/>
                <w:b w:val="0"/>
                <w:color w:val="000000"/>
                <w:sz w:val="17"/>
              </w:rPr>
              <w:t>La sécurité des personnes, des biens et des opérations est prise en compte.</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r>
        <w:br w:type="page"/>
      </w:r>
    </w:p>
    <w:p>
      <w:pPr>
        <w:pStyle w:val="Heading2"/>
      </w:pPr>
      <w:r>
        <w:t>Résultats impact et redevabilité</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648"/>
        <w:gridCol w:w="8424"/>
        <w:gridCol w:w="1008"/>
      </w:tblGrid>
      <w:tr>
        <w:trPr>
          <w:tblHeader w:val="true"/>
          <w:cantSplit/>
        </w:trPr>
        <w:tc>
          <w:tcPr>
            <w:tcW w:type="dxa" w:w="648"/>
            <w:vAlign w:val="center"/>
            <w:shd w:fill="17324D"/>
          </w:tcPr>
          <w:p>
            <w:r/>
            <w:r>
              <w:rPr>
                <w:rFonts w:ascii="Arial" w:hAnsi="Arial"/>
                <w:b/>
                <w:color w:val="FFFFFF"/>
                <w:sz w:val="17"/>
              </w:rPr>
              <w:t>N°</w:t>
            </w:r>
          </w:p>
        </w:tc>
        <w:tc>
          <w:tcPr>
            <w:tcW w:type="dxa" w:w="8424"/>
            <w:vAlign w:val="center"/>
            <w:shd w:fill="17324D"/>
          </w:tcPr>
          <w:p>
            <w:r/>
            <w:r>
              <w:rPr>
                <w:rFonts w:ascii="Arial" w:hAnsi="Arial"/>
                <w:b/>
                <w:color w:val="FFFFFF"/>
                <w:sz w:val="17"/>
              </w:rPr>
              <w:t>Affirmation à évaluer</w:t>
            </w:r>
          </w:p>
        </w:tc>
        <w:tc>
          <w:tcPr>
            <w:tcW w:type="dxa" w:w="1007"/>
            <w:vAlign w:val="center"/>
            <w:shd w:fill="17324D"/>
          </w:tcPr>
          <w:p>
            <w:r/>
            <w:r>
              <w:rPr>
                <w:rFonts w:ascii="Arial" w:hAnsi="Arial"/>
                <w:b/>
                <w:color w:val="FFFFFF"/>
                <w:sz w:val="17"/>
              </w:rPr>
              <w:t>0 à 4</w:t>
            </w:r>
          </w:p>
        </w:tc>
      </w:tr>
      <w:tr>
        <w:trPr>
          <w:cantSplit/>
        </w:trPr>
        <w:tc>
          <w:tcPr>
            <w:tcW w:type="dxa" w:w="648"/>
            <w:vAlign w:val="center"/>
          </w:tcPr>
          <w:p>
            <w:r/>
            <w:r>
              <w:rPr>
                <w:rFonts w:ascii="Arial" w:hAnsi="Arial"/>
                <w:b w:val="0"/>
                <w:color w:val="000000"/>
                <w:sz w:val="17"/>
              </w:rPr>
              <w:t>31</w:t>
            </w:r>
          </w:p>
        </w:tc>
        <w:tc>
          <w:tcPr>
            <w:tcW w:type="dxa" w:w="8424"/>
            <w:vAlign w:val="center"/>
          </w:tcPr>
          <w:p>
            <w:r/>
            <w:r>
              <w:rPr>
                <w:rFonts w:ascii="Arial" w:hAnsi="Arial"/>
                <w:b w:val="0"/>
                <w:color w:val="000000"/>
                <w:sz w:val="17"/>
              </w:rPr>
              <w:t>Des indicateurs simples permettent de vérifier chaque résultat important.</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32</w:t>
            </w:r>
          </w:p>
        </w:tc>
        <w:tc>
          <w:tcPr>
            <w:tcW w:type="dxa" w:w="8424"/>
            <w:vAlign w:val="center"/>
          </w:tcPr>
          <w:p>
            <w:r/>
            <w:r>
              <w:rPr>
                <w:rFonts w:ascii="Arial" w:hAnsi="Arial"/>
                <w:b w:val="0"/>
                <w:color w:val="000000"/>
                <w:sz w:val="17"/>
              </w:rPr>
              <w:t>Une situation de départ est connue afin de mesurer les changements obtenus.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33</w:t>
            </w:r>
          </w:p>
        </w:tc>
        <w:tc>
          <w:tcPr>
            <w:tcW w:type="dxa" w:w="8424"/>
            <w:vAlign w:val="center"/>
          </w:tcPr>
          <w:p>
            <w:r/>
            <w:r>
              <w:rPr>
                <w:rFonts w:ascii="Arial" w:hAnsi="Arial"/>
                <w:b w:val="0"/>
                <w:color w:val="000000"/>
                <w:sz w:val="17"/>
              </w:rPr>
              <w:t>Les sources de preuve et la fréquence de collecte sont définies.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34</w:t>
            </w:r>
          </w:p>
        </w:tc>
        <w:tc>
          <w:tcPr>
            <w:tcW w:type="dxa" w:w="8424"/>
            <w:vAlign w:val="center"/>
          </w:tcPr>
          <w:p>
            <w:r/>
            <w:r>
              <w:rPr>
                <w:rFonts w:ascii="Arial" w:hAnsi="Arial"/>
                <w:b w:val="0"/>
                <w:color w:val="000000"/>
                <w:sz w:val="17"/>
              </w:rPr>
              <w:t>Les exigences du bailleur pour les comptes rendus techniques et financiers sont connues.</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35</w:t>
            </w:r>
          </w:p>
        </w:tc>
        <w:tc>
          <w:tcPr>
            <w:tcW w:type="dxa" w:w="8424"/>
            <w:vAlign w:val="center"/>
          </w:tcPr>
          <w:p>
            <w:r/>
            <w:r>
              <w:rPr>
                <w:rFonts w:ascii="Arial" w:hAnsi="Arial"/>
                <w:b w:val="0"/>
                <w:color w:val="000000"/>
                <w:sz w:val="17"/>
              </w:rPr>
              <w:t>Les bénéficiaires peuvent donner leur avis ou signaler une difficulté.</w:t>
            </w:r>
          </w:p>
        </w:tc>
        <w:tc>
          <w:tcPr>
            <w:tcW w:type="dxa" w:w="1008"/>
            <w:vAlign w:val="center"/>
          </w:tcPr>
          <w:p>
            <w:r/>
            <w:r>
              <w:rPr>
                <w:rFonts w:ascii="Arial" w:hAnsi="Arial"/>
                <w:b w:val="0"/>
                <w:color w:val="000000"/>
                <w:sz w:val="18"/>
              </w:rPr>
              <w:t>____</w:t>
            </w:r>
          </w:p>
        </w:tc>
      </w:tr>
      <w:tr>
        <w:trPr>
          <w:cantSplit/>
        </w:trPr>
        <w:tc>
          <w:tcPr>
            <w:tcW w:type="dxa" w:w="648"/>
            <w:vAlign w:val="center"/>
          </w:tcPr>
          <w:p>
            <w:r/>
            <w:r>
              <w:rPr>
                <w:rFonts w:ascii="Arial" w:hAnsi="Arial"/>
                <w:b w:val="0"/>
                <w:color w:val="000000"/>
                <w:sz w:val="17"/>
              </w:rPr>
              <w:t>36</w:t>
            </w:r>
          </w:p>
        </w:tc>
        <w:tc>
          <w:tcPr>
            <w:tcW w:type="dxa" w:w="8424"/>
            <w:vAlign w:val="center"/>
          </w:tcPr>
          <w:p>
            <w:r/>
            <w:r>
              <w:rPr>
                <w:rFonts w:ascii="Arial" w:hAnsi="Arial"/>
                <w:b w:val="0"/>
                <w:color w:val="000000"/>
                <w:sz w:val="17"/>
              </w:rPr>
              <w:t>Une stratégie de continuité après la subvention est prévue.</w:t>
            </w:r>
          </w:p>
        </w:tc>
        <w:tc>
          <w:tcPr>
            <w:tcW w:type="dxa" w:w="1008"/>
            <w:vAlign w:val="center"/>
          </w:tcPr>
          <w:p>
            <w:r/>
            <w:r>
              <w:rPr>
                <w:rFonts w:ascii="Arial" w:hAnsi="Arial"/>
                <w:b w:val="0"/>
                <w:color w:val="000000"/>
                <w:sz w:val="18"/>
              </w:rPr>
              <w:t>____</w:t>
            </w:r>
          </w:p>
        </w:tc>
      </w:tr>
    </w:tbl>
    <w:p>
      <w:r>
        <w:t>Éléments ou preuves à vérifier : ________________________________________________________________</w:t>
      </w:r>
    </w:p>
    <w:p>
      <w:pPr>
        <w:pStyle w:val="Heading1"/>
      </w:pPr>
      <w:r>
        <w:t>5 Calcul et interprétation</w:t>
      </w:r>
    </w:p>
    <w:p>
      <w:r>
        <w:t>Chaque axe comprend six questions et produit un maximum de 24 points. Le score de l’axe est ramené sur 100 : total obtenu ÷ 24 × 100. Le score global est obtenu ainsi : total des 36 réponses ÷ 144 × 100. Les six axes ont le même poids dans la version pilote.</w:t>
      </w:r>
    </w:p>
    <w:tbl>
      <w:tblPr>
        <w:tblW w:type="auto" w:w="0"/>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1224"/>
        <w:gridCol w:w="2088"/>
        <w:gridCol w:w="3240"/>
        <w:gridCol w:w="3528"/>
      </w:tblGrid>
      <w:tr>
        <w:trPr>
          <w:tblHeader w:val="true"/>
          <w:cantSplit/>
        </w:trPr>
        <w:tc>
          <w:tcPr>
            <w:tcW w:type="dxa" w:w="1224"/>
            <w:vAlign w:val="center"/>
            <w:shd w:fill="17324D"/>
          </w:tcPr>
          <w:p>
            <w:r/>
            <w:r>
              <w:rPr>
                <w:rFonts w:ascii="Arial" w:hAnsi="Arial"/>
                <w:b/>
                <w:color w:val="FFFFFF"/>
                <w:sz w:val="17"/>
              </w:rPr>
              <w:t>Score global</w:t>
            </w:r>
          </w:p>
        </w:tc>
        <w:tc>
          <w:tcPr>
            <w:tcW w:type="dxa" w:w="2088"/>
            <w:vAlign w:val="center"/>
            <w:shd w:fill="17324D"/>
          </w:tcPr>
          <w:p>
            <w:r/>
            <w:r>
              <w:rPr>
                <w:rFonts w:ascii="Arial" w:hAnsi="Arial"/>
                <w:b/>
                <w:color w:val="FFFFFF"/>
                <w:sz w:val="17"/>
              </w:rPr>
              <w:t>Profil</w:t>
            </w:r>
          </w:p>
        </w:tc>
        <w:tc>
          <w:tcPr>
            <w:tcW w:type="dxa" w:w="3240"/>
            <w:vAlign w:val="center"/>
            <w:shd w:fill="17324D"/>
          </w:tcPr>
          <w:p>
            <w:r/>
            <w:r>
              <w:rPr>
                <w:rFonts w:ascii="Arial" w:hAnsi="Arial"/>
                <w:b/>
                <w:color w:val="FFFFFF"/>
                <w:sz w:val="17"/>
              </w:rPr>
              <w:t>Lecture</w:t>
            </w:r>
          </w:p>
        </w:tc>
        <w:tc>
          <w:tcPr>
            <w:tcW w:type="dxa" w:w="3528"/>
            <w:vAlign w:val="center"/>
            <w:shd w:fill="17324D"/>
          </w:tcPr>
          <w:p>
            <w:r/>
            <w:r>
              <w:rPr>
                <w:rFonts w:ascii="Arial" w:hAnsi="Arial"/>
                <w:b/>
                <w:color w:val="FFFFFF"/>
                <w:sz w:val="17"/>
              </w:rPr>
              <w:t>Priorité</w:t>
            </w:r>
          </w:p>
        </w:tc>
      </w:tr>
      <w:tr>
        <w:trPr>
          <w:cantSplit/>
        </w:trPr>
        <w:tc>
          <w:tcPr>
            <w:tcW w:type="dxa" w:w="1224"/>
            <w:vAlign w:val="center"/>
          </w:tcPr>
          <w:p>
            <w:r/>
            <w:r>
              <w:rPr>
                <w:rFonts w:ascii="Arial" w:hAnsi="Arial"/>
                <w:b w:val="0"/>
                <w:color w:val="000000"/>
                <w:sz w:val="16"/>
              </w:rPr>
              <w:t>0–39</w:t>
            </w:r>
          </w:p>
        </w:tc>
        <w:tc>
          <w:tcPr>
            <w:tcW w:type="dxa" w:w="2088"/>
            <w:vAlign w:val="center"/>
          </w:tcPr>
          <w:p>
            <w:r/>
            <w:r>
              <w:rPr>
                <w:rFonts w:ascii="Arial" w:hAnsi="Arial"/>
                <w:b w:val="0"/>
                <w:color w:val="000000"/>
                <w:sz w:val="16"/>
              </w:rPr>
              <w:t>Projet fragile</w:t>
            </w:r>
          </w:p>
        </w:tc>
        <w:tc>
          <w:tcPr>
            <w:tcW w:type="dxa" w:w="3240"/>
            <w:vAlign w:val="center"/>
          </w:tcPr>
          <w:p>
            <w:r/>
            <w:r>
              <w:rPr>
                <w:rFonts w:ascii="Arial" w:hAnsi="Arial"/>
                <w:b w:val="0"/>
                <w:color w:val="000000"/>
                <w:sz w:val="16"/>
              </w:rPr>
              <w:t>Des éléments essentiels manquent.</w:t>
            </w:r>
          </w:p>
        </w:tc>
        <w:tc>
          <w:tcPr>
            <w:tcW w:type="dxa" w:w="3528"/>
            <w:vAlign w:val="center"/>
          </w:tcPr>
          <w:p>
            <w:r/>
            <w:r>
              <w:rPr>
                <w:rFonts w:ascii="Arial" w:hAnsi="Arial"/>
                <w:b w:val="0"/>
                <w:color w:val="000000"/>
                <w:sz w:val="16"/>
              </w:rPr>
              <w:t>Sécuriser les fondations avant toute demande.</w:t>
            </w:r>
          </w:p>
        </w:tc>
      </w:tr>
      <w:tr>
        <w:trPr>
          <w:cantSplit/>
        </w:trPr>
        <w:tc>
          <w:tcPr>
            <w:tcW w:type="dxa" w:w="1224"/>
            <w:vAlign w:val="center"/>
          </w:tcPr>
          <w:p>
            <w:r/>
            <w:r>
              <w:rPr>
                <w:rFonts w:ascii="Arial" w:hAnsi="Arial"/>
                <w:b w:val="0"/>
                <w:color w:val="000000"/>
                <w:sz w:val="16"/>
              </w:rPr>
              <w:t>40–59</w:t>
            </w:r>
          </w:p>
        </w:tc>
        <w:tc>
          <w:tcPr>
            <w:tcW w:type="dxa" w:w="2088"/>
            <w:vAlign w:val="center"/>
          </w:tcPr>
          <w:p>
            <w:r/>
            <w:r>
              <w:rPr>
                <w:rFonts w:ascii="Arial" w:hAnsi="Arial"/>
                <w:b w:val="0"/>
                <w:color w:val="000000"/>
                <w:sz w:val="16"/>
              </w:rPr>
              <w:t>Projet en construction</w:t>
            </w:r>
          </w:p>
        </w:tc>
        <w:tc>
          <w:tcPr>
            <w:tcW w:type="dxa" w:w="3240"/>
            <w:vAlign w:val="center"/>
          </w:tcPr>
          <w:p>
            <w:r/>
            <w:r>
              <w:rPr>
                <w:rFonts w:ascii="Arial" w:hAnsi="Arial"/>
                <w:b w:val="0"/>
                <w:color w:val="000000"/>
                <w:sz w:val="16"/>
              </w:rPr>
              <w:t>Le projet est prometteur mais encore incomplet.</w:t>
            </w:r>
          </w:p>
        </w:tc>
        <w:tc>
          <w:tcPr>
            <w:tcW w:type="dxa" w:w="3528"/>
            <w:vAlign w:val="center"/>
          </w:tcPr>
          <w:p>
            <w:r/>
            <w:r>
              <w:rPr>
                <w:rFonts w:ascii="Arial" w:hAnsi="Arial"/>
                <w:b w:val="0"/>
                <w:color w:val="000000"/>
                <w:sz w:val="16"/>
              </w:rPr>
              <w:t>Formaliser les preuves, le budget et l’organisation.</w:t>
            </w:r>
          </w:p>
        </w:tc>
      </w:tr>
      <w:tr>
        <w:trPr>
          <w:cantSplit/>
        </w:trPr>
        <w:tc>
          <w:tcPr>
            <w:tcW w:type="dxa" w:w="1224"/>
            <w:vAlign w:val="center"/>
          </w:tcPr>
          <w:p>
            <w:r/>
            <w:r>
              <w:rPr>
                <w:rFonts w:ascii="Arial" w:hAnsi="Arial"/>
                <w:b w:val="0"/>
                <w:color w:val="000000"/>
                <w:sz w:val="16"/>
              </w:rPr>
              <w:t>60–79</w:t>
            </w:r>
          </w:p>
        </w:tc>
        <w:tc>
          <w:tcPr>
            <w:tcW w:type="dxa" w:w="2088"/>
            <w:vAlign w:val="center"/>
          </w:tcPr>
          <w:p>
            <w:r/>
            <w:r>
              <w:rPr>
                <w:rFonts w:ascii="Arial" w:hAnsi="Arial"/>
                <w:b w:val="0"/>
                <w:color w:val="000000"/>
                <w:sz w:val="16"/>
              </w:rPr>
              <w:t>Projet structuré</w:t>
            </w:r>
          </w:p>
        </w:tc>
        <w:tc>
          <w:tcPr>
            <w:tcW w:type="dxa" w:w="3240"/>
            <w:vAlign w:val="center"/>
          </w:tcPr>
          <w:p>
            <w:r/>
            <w:r>
              <w:rPr>
                <w:rFonts w:ascii="Arial" w:hAnsi="Arial"/>
                <w:b w:val="0"/>
                <w:color w:val="000000"/>
                <w:sz w:val="16"/>
              </w:rPr>
              <w:t>La base est cohérente, avec quelques fragilités.</w:t>
            </w:r>
          </w:p>
        </w:tc>
        <w:tc>
          <w:tcPr>
            <w:tcW w:type="dxa" w:w="3528"/>
            <w:vAlign w:val="center"/>
          </w:tcPr>
          <w:p>
            <w:r/>
            <w:r>
              <w:rPr>
                <w:rFonts w:ascii="Arial" w:hAnsi="Arial"/>
                <w:b w:val="0"/>
                <w:color w:val="000000"/>
                <w:sz w:val="16"/>
              </w:rPr>
              <w:t>Traiter les axes les plus faibles avant le dépôt.</w:t>
            </w:r>
          </w:p>
        </w:tc>
      </w:tr>
      <w:tr>
        <w:trPr>
          <w:cantSplit/>
        </w:trPr>
        <w:tc>
          <w:tcPr>
            <w:tcW w:type="dxa" w:w="1224"/>
            <w:vAlign w:val="center"/>
          </w:tcPr>
          <w:p>
            <w:r/>
            <w:r>
              <w:rPr>
                <w:rFonts w:ascii="Arial" w:hAnsi="Arial"/>
                <w:b w:val="0"/>
                <w:color w:val="000000"/>
                <w:sz w:val="16"/>
              </w:rPr>
              <w:t>80–100</w:t>
            </w:r>
          </w:p>
        </w:tc>
        <w:tc>
          <w:tcPr>
            <w:tcW w:type="dxa" w:w="2088"/>
            <w:vAlign w:val="center"/>
          </w:tcPr>
          <w:p>
            <w:r/>
            <w:r>
              <w:rPr>
                <w:rFonts w:ascii="Arial" w:hAnsi="Arial"/>
                <w:b w:val="0"/>
                <w:color w:val="000000"/>
                <w:sz w:val="16"/>
              </w:rPr>
              <w:t>Projet prêt à être présenté</w:t>
            </w:r>
          </w:p>
        </w:tc>
        <w:tc>
          <w:tcPr>
            <w:tcW w:type="dxa" w:w="3240"/>
            <w:vAlign w:val="center"/>
          </w:tcPr>
          <w:p>
            <w:r/>
            <w:r>
              <w:rPr>
                <w:rFonts w:ascii="Arial" w:hAnsi="Arial"/>
                <w:b w:val="0"/>
                <w:color w:val="000000"/>
                <w:sz w:val="16"/>
              </w:rPr>
              <w:t>Le projet est bien préparé au regard des réponses.</w:t>
            </w:r>
          </w:p>
        </w:tc>
        <w:tc>
          <w:tcPr>
            <w:tcW w:type="dxa" w:w="3528"/>
            <w:vAlign w:val="center"/>
          </w:tcPr>
          <w:p>
            <w:r/>
            <w:r>
              <w:rPr>
                <w:rFonts w:ascii="Arial" w:hAnsi="Arial"/>
                <w:b w:val="0"/>
                <w:color w:val="000000"/>
                <w:sz w:val="16"/>
              </w:rPr>
              <w:t>Vérifier l’adéquation au financeur et actualiser les preuves.</w:t>
            </w:r>
          </w:p>
        </w:tc>
      </w:tr>
    </w:tbl>
    <w:p>
      <w:pPr>
        <w:pStyle w:val="Heading1"/>
      </w:pPr>
      <w:r>
        <w:t>6 Recommandations automatiques par axe</w:t>
      </w:r>
    </w:p>
    <w:p>
      <w:pPr>
        <w:pStyle w:val="Heading2"/>
      </w:pPr>
      <w:r>
        <w:t>Vision et pertinence</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2"/>
      </w:pPr>
      <w:r>
        <w:t>Structuration technique</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2"/>
      </w:pPr>
      <w:r>
        <w:t>Préparation financière</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2"/>
      </w:pPr>
      <w:r>
        <w:t>Gouvernance et partenariats</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2"/>
      </w:pPr>
      <w:r>
        <w:t>Mise en œuvre et gestion</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2"/>
      </w:pPr>
      <w:r>
        <w:t>Résultats impact et redevabilité</w:t>
      </w:r>
    </w:p>
    <w:p>
      <w:r>
        <w:t>Moins de 40 : reprendre les bases avec un accompagnement ciblé. 40 à 59 : compléter les éléments manquants et réunir les preuves. 60 à 79 : consolider les points faibles avant transmission. 80 et plus : maintenir les documents à jour et préparer la démonstration au financeur.</w:t>
      </w:r>
    </w:p>
    <w:p>
      <w:pPr>
        <w:pStyle w:val="Heading1"/>
      </w:pPr>
      <w:r>
        <w:t>7 Mise en ligne sur le site</w:t>
      </w:r>
    </w:p>
    <w:p>
      <w:r>
        <w:t>Le parcours recommandé comporte quatre étapes : présentation et consentement, questionnaire, paiement lorsque l’offre est payante, puis résultat. Le visiteur doit pouvoir interrompre et reprendre son évaluation. Le résultat affiche le score global, les six scores, les trois priorités et un appel à réserver un diagnostic humain.</w:t>
      </w:r>
    </w:p>
    <w:p>
      <w:r>
        <w:t>Fonctions à prévoir : réponses obligatoires, calcul automatique, graphique des six axes, génération d’un rapport PDF, courrier électronique de livraison, espace administrateur, export anonyme des résultats et historique des versions du questionnaire.</w:t>
      </w:r>
    </w:p>
    <w:p>
      <w:pPr>
        <w:pStyle w:val="Heading1"/>
      </w:pPr>
      <w:r>
        <w:t>8 Offre commerciale recommandée</w:t>
      </w:r>
    </w:p>
    <w:tbl>
      <w:tblPr>
        <w:tblW w:type="auto" w:w="0"/>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1800"/>
        <w:gridCol w:w="3672"/>
        <w:gridCol w:w="1656"/>
        <w:gridCol w:w="2952"/>
      </w:tblGrid>
      <w:tr>
        <w:trPr>
          <w:tblHeader w:val="true"/>
          <w:cantSplit/>
        </w:trPr>
        <w:tc>
          <w:tcPr>
            <w:tcW w:type="dxa" w:w="1800"/>
            <w:vAlign w:val="center"/>
            <w:shd w:fill="17324D"/>
          </w:tcPr>
          <w:p>
            <w:r/>
            <w:r>
              <w:rPr>
                <w:rFonts w:ascii="Arial" w:hAnsi="Arial"/>
                <w:b/>
                <w:color w:val="FFFFFF"/>
                <w:sz w:val="17"/>
              </w:rPr>
              <w:t>Offre</w:t>
            </w:r>
          </w:p>
        </w:tc>
        <w:tc>
          <w:tcPr>
            <w:tcW w:type="dxa" w:w="3671"/>
            <w:vAlign w:val="center"/>
            <w:shd w:fill="17324D"/>
          </w:tcPr>
          <w:p>
            <w:r/>
            <w:r>
              <w:rPr>
                <w:rFonts w:ascii="Arial" w:hAnsi="Arial"/>
                <w:b/>
                <w:color w:val="FFFFFF"/>
                <w:sz w:val="17"/>
              </w:rPr>
              <w:t>Contenu</w:t>
            </w:r>
          </w:p>
        </w:tc>
        <w:tc>
          <w:tcPr>
            <w:tcW w:type="dxa" w:w="1655"/>
            <w:vAlign w:val="center"/>
            <w:shd w:fill="17324D"/>
          </w:tcPr>
          <w:p>
            <w:r/>
            <w:r>
              <w:rPr>
                <w:rFonts w:ascii="Arial" w:hAnsi="Arial"/>
                <w:b/>
                <w:color w:val="FFFFFF"/>
                <w:sz w:val="17"/>
              </w:rPr>
              <w:t>Prix de lancement</w:t>
            </w:r>
          </w:p>
        </w:tc>
        <w:tc>
          <w:tcPr>
            <w:tcW w:type="dxa" w:w="2951"/>
            <w:vAlign w:val="center"/>
            <w:shd w:fill="17324D"/>
          </w:tcPr>
          <w:p>
            <w:r/>
            <w:r>
              <w:rPr>
                <w:rFonts w:ascii="Arial" w:hAnsi="Arial"/>
                <w:b/>
                <w:color w:val="FFFFFF"/>
                <w:sz w:val="17"/>
              </w:rPr>
              <w:t>Objectif</w:t>
            </w:r>
          </w:p>
        </w:tc>
      </w:tr>
      <w:tr>
        <w:trPr>
          <w:cantSplit/>
        </w:trPr>
        <w:tc>
          <w:tcPr>
            <w:tcW w:type="dxa" w:w="1800"/>
            <w:vAlign w:val="center"/>
          </w:tcPr>
          <w:p>
            <w:r/>
            <w:r>
              <w:rPr>
                <w:rFonts w:ascii="Arial" w:hAnsi="Arial"/>
                <w:b w:val="0"/>
                <w:color w:val="000000"/>
                <w:sz w:val="16"/>
              </w:rPr>
              <w:t>Mini baromètre</w:t>
            </w:r>
          </w:p>
        </w:tc>
        <w:tc>
          <w:tcPr>
            <w:tcW w:type="dxa" w:w="3672"/>
            <w:vAlign w:val="center"/>
          </w:tcPr>
          <w:p>
            <w:r/>
            <w:r>
              <w:rPr>
                <w:rFonts w:ascii="Arial" w:hAnsi="Arial"/>
                <w:b w:val="0"/>
                <w:color w:val="000000"/>
                <w:sz w:val="16"/>
              </w:rPr>
              <w:t>12 questions, score global et une priorité</w:t>
            </w:r>
          </w:p>
        </w:tc>
        <w:tc>
          <w:tcPr>
            <w:tcW w:type="dxa" w:w="1656"/>
            <w:vAlign w:val="center"/>
          </w:tcPr>
          <w:p>
            <w:r/>
            <w:r>
              <w:rPr>
                <w:rFonts w:ascii="Arial" w:hAnsi="Arial"/>
                <w:b w:val="0"/>
                <w:color w:val="000000"/>
                <w:sz w:val="16"/>
              </w:rPr>
              <w:t>Gratuit</w:t>
            </w:r>
          </w:p>
        </w:tc>
        <w:tc>
          <w:tcPr>
            <w:tcW w:type="dxa" w:w="2952"/>
            <w:vAlign w:val="center"/>
          </w:tcPr>
          <w:p>
            <w:r/>
            <w:r>
              <w:rPr>
                <w:rFonts w:ascii="Arial" w:hAnsi="Arial"/>
                <w:b w:val="0"/>
                <w:color w:val="000000"/>
                <w:sz w:val="16"/>
              </w:rPr>
              <w:t>Attirer et qualifier les prospects</w:t>
            </w:r>
          </w:p>
        </w:tc>
      </w:tr>
      <w:tr>
        <w:trPr>
          <w:cantSplit/>
        </w:trPr>
        <w:tc>
          <w:tcPr>
            <w:tcW w:type="dxa" w:w="1800"/>
            <w:vAlign w:val="center"/>
          </w:tcPr>
          <w:p>
            <w:r/>
            <w:r>
              <w:rPr>
                <w:rFonts w:ascii="Arial" w:hAnsi="Arial"/>
                <w:b w:val="0"/>
                <w:color w:val="000000"/>
                <w:sz w:val="16"/>
              </w:rPr>
              <w:t>Baromètre complet</w:t>
            </w:r>
          </w:p>
        </w:tc>
        <w:tc>
          <w:tcPr>
            <w:tcW w:type="dxa" w:w="3672"/>
            <w:vAlign w:val="center"/>
          </w:tcPr>
          <w:p>
            <w:r/>
            <w:r>
              <w:rPr>
                <w:rFonts w:ascii="Arial" w:hAnsi="Arial"/>
                <w:b w:val="0"/>
                <w:color w:val="000000"/>
                <w:sz w:val="16"/>
              </w:rPr>
              <w:t>36 questions, six scores, rapport immédiat et recommandations</w:t>
            </w:r>
          </w:p>
        </w:tc>
        <w:tc>
          <w:tcPr>
            <w:tcW w:type="dxa" w:w="1656"/>
            <w:vAlign w:val="center"/>
          </w:tcPr>
          <w:p>
            <w:r/>
            <w:r>
              <w:rPr>
                <w:rFonts w:ascii="Arial" w:hAnsi="Arial"/>
                <w:b w:val="0"/>
                <w:color w:val="000000"/>
                <w:sz w:val="16"/>
              </w:rPr>
              <w:t>39 € TTC</w:t>
            </w:r>
          </w:p>
        </w:tc>
        <w:tc>
          <w:tcPr>
            <w:tcW w:type="dxa" w:w="2952"/>
            <w:vAlign w:val="center"/>
          </w:tcPr>
          <w:p>
            <w:r/>
            <w:r>
              <w:rPr>
                <w:rFonts w:ascii="Arial" w:hAnsi="Arial"/>
                <w:b w:val="0"/>
                <w:color w:val="000000"/>
                <w:sz w:val="16"/>
              </w:rPr>
              <w:t>Vendre un premier diagnostic autonome</w:t>
            </w:r>
          </w:p>
        </w:tc>
      </w:tr>
      <w:tr>
        <w:trPr>
          <w:cantSplit/>
        </w:trPr>
        <w:tc>
          <w:tcPr>
            <w:tcW w:type="dxa" w:w="1800"/>
            <w:vAlign w:val="center"/>
          </w:tcPr>
          <w:p>
            <w:r/>
            <w:r>
              <w:rPr>
                <w:rFonts w:ascii="Arial" w:hAnsi="Arial"/>
                <w:b w:val="0"/>
                <w:color w:val="000000"/>
                <w:sz w:val="16"/>
              </w:rPr>
              <w:t>Diagnostic expert</w:t>
            </w:r>
          </w:p>
        </w:tc>
        <w:tc>
          <w:tcPr>
            <w:tcW w:type="dxa" w:w="3672"/>
            <w:vAlign w:val="center"/>
          </w:tcPr>
          <w:p>
            <w:r/>
            <w:r>
              <w:rPr>
                <w:rFonts w:ascii="Arial" w:hAnsi="Arial"/>
                <w:b w:val="0"/>
                <w:color w:val="000000"/>
                <w:sz w:val="16"/>
              </w:rPr>
              <w:t>Relecture des réponses, entretien et plan d’action personnalisé</w:t>
            </w:r>
          </w:p>
        </w:tc>
        <w:tc>
          <w:tcPr>
            <w:tcW w:type="dxa" w:w="1656"/>
            <w:vAlign w:val="center"/>
          </w:tcPr>
          <w:p>
            <w:r/>
            <w:r>
              <w:rPr>
                <w:rFonts w:ascii="Arial" w:hAnsi="Arial"/>
                <w:b w:val="0"/>
                <w:color w:val="000000"/>
                <w:sz w:val="16"/>
              </w:rPr>
              <w:t>250 € TTC</w:t>
            </w:r>
          </w:p>
        </w:tc>
        <w:tc>
          <w:tcPr>
            <w:tcW w:type="dxa" w:w="2952"/>
            <w:vAlign w:val="center"/>
          </w:tcPr>
          <w:p>
            <w:r/>
            <w:r>
              <w:rPr>
                <w:rFonts w:ascii="Arial" w:hAnsi="Arial"/>
                <w:b w:val="0"/>
                <w:color w:val="000000"/>
                <w:sz w:val="16"/>
              </w:rPr>
              <w:t>Valoriser votre expertise et préparer le dossier</w:t>
            </w:r>
          </w:p>
        </w:tc>
      </w:tr>
      <w:tr>
        <w:trPr>
          <w:cantSplit/>
        </w:trPr>
        <w:tc>
          <w:tcPr>
            <w:tcW w:type="dxa" w:w="1800"/>
            <w:vAlign w:val="center"/>
          </w:tcPr>
          <w:p>
            <w:r/>
            <w:r>
              <w:rPr>
                <w:rFonts w:ascii="Arial" w:hAnsi="Arial"/>
                <w:b w:val="0"/>
                <w:color w:val="000000"/>
                <w:sz w:val="16"/>
              </w:rPr>
              <w:t>Accompagnement</w:t>
            </w:r>
          </w:p>
        </w:tc>
        <w:tc>
          <w:tcPr>
            <w:tcW w:type="dxa" w:w="3672"/>
            <w:vAlign w:val="center"/>
          </w:tcPr>
          <w:p>
            <w:r/>
            <w:r>
              <w:rPr>
                <w:rFonts w:ascii="Arial" w:hAnsi="Arial"/>
                <w:b w:val="0"/>
                <w:color w:val="000000"/>
                <w:sz w:val="16"/>
              </w:rPr>
              <w:t>Structuration, financement, mise en œuvre ou reporting</w:t>
            </w:r>
          </w:p>
        </w:tc>
        <w:tc>
          <w:tcPr>
            <w:tcW w:type="dxa" w:w="1656"/>
            <w:vAlign w:val="center"/>
          </w:tcPr>
          <w:p>
            <w:r/>
            <w:r>
              <w:rPr>
                <w:rFonts w:ascii="Arial" w:hAnsi="Arial"/>
                <w:b w:val="0"/>
                <w:color w:val="000000"/>
                <w:sz w:val="16"/>
              </w:rPr>
              <w:t>Sur devis</w:t>
            </w:r>
          </w:p>
        </w:tc>
        <w:tc>
          <w:tcPr>
            <w:tcW w:type="dxa" w:w="2952"/>
            <w:vAlign w:val="center"/>
          </w:tcPr>
          <w:p>
            <w:r/>
            <w:r>
              <w:rPr>
                <w:rFonts w:ascii="Arial" w:hAnsi="Arial"/>
                <w:b w:val="0"/>
                <w:color w:val="000000"/>
                <w:sz w:val="16"/>
              </w:rPr>
              <w:t>Transformer le diagnostic en mission</w:t>
            </w:r>
          </w:p>
        </w:tc>
      </w:tr>
    </w:tbl>
    <w:p>
      <w:r>
        <w:t>Les prix sont des hypothèses de lancement à tester. Le paiement peut être réalisé avant l’affichage du rapport complet. La page de résultat peut déduire les 39 € du diagnostic expert si la réservation intervient dans un délai défini, sans cumuler automatiquement d’autres remises.</w:t>
      </w:r>
    </w:p>
    <w:p>
      <w:pPr>
        <w:pStyle w:val="Heading1"/>
      </w:pPr>
      <w:r>
        <w:t>9 Texte proposé pour la page de vente</w:t>
      </w:r>
    </w:p>
    <w:p>
      <w:r>
        <w:t>Votre projet est-il réellement prêt à être financé et mis en œuvre ? En quelques minutes, le Baromètre Alliance Capital évalue six dimensions essentielles : pertinence, organisation technique, financement, gouvernance, mise en œuvre et mesure des résultats. Vous obtenez un score clair, vos points forts et les priorités à traiter avant de présenter votre projet à un partenaire ou à un financeur.</w:t>
      </w:r>
    </w:p>
    <w:p>
      <w:r>
        <w:t>Bouton principal : Évaluer mon projet. Bouton secondaire : Découvrir la méthode.</w:t>
      </w:r>
    </w:p>
    <w:p>
      <w:pPr>
        <w:pStyle w:val="Heading1"/>
      </w:pPr>
      <w:r>
        <w:t>10 Protection des données et crédibilité</w:t>
      </w:r>
    </w:p>
    <w:p>
      <w:pPr>
        <w:pStyle w:val="ListBullet"/>
      </w:pPr>
      <w:r>
        <w:t>Afficher l’identité de l’éditeur, le prix total, les conditions de vente et les modalités de délivrance du rapport avant le paiement.</w:t>
      </w:r>
    </w:p>
    <w:p>
      <w:pPr>
        <w:pStyle w:val="ListBullet"/>
      </w:pPr>
      <w:r>
        <w:t>Informer les participants des données collectées, de la finalité, de la durée de conservation, de leurs droits et du contact permettant de les exercer.</w:t>
      </w:r>
    </w:p>
    <w:p>
      <w:pPr>
        <w:pStyle w:val="ListBullet"/>
      </w:pPr>
      <w:r>
        <w:t>Éviter les données sensibles qui ne sont pas nécessaires. Publier les tendances sous une forme agrégée et anonymisée.</w:t>
      </w:r>
    </w:p>
    <w:p>
      <w:pPr>
        <w:pStyle w:val="ListBullet"/>
      </w:pPr>
      <w:r>
        <w:t>Ne jamais présenter le score comme une garantie de financement, une certification officielle ou une décision de bailleur.</w:t>
      </w:r>
    </w:p>
    <w:p>
      <w:pPr>
        <w:pStyle w:val="ListBullet"/>
      </w:pPr>
      <w:r>
        <w:t>Conserver la même grille pendant une édition afin de permettre les comparaisons. Dater et documenter toute modification.</w:t>
      </w:r>
    </w:p>
    <w:p>
      <w:pPr>
        <w:pStyle w:val="ListBullet"/>
      </w:pPr>
      <w:r>
        <w:t>Séparer les résultats agrégés du baromètre des dossiers nominatifs confiés à Alliance Capital.</w:t>
      </w:r>
    </w:p>
    <w:p>
      <w:pPr>
        <w:pStyle w:val="Heading1"/>
      </w:pPr>
      <w:r>
        <w:t>11 Protocole de lancement pilote</w:t>
      </w:r>
    </w:p>
    <w:p>
      <w:r>
        <w:t>1. Tester les questions avec 5 à 10 porteurs et relever les incompréhensions.</w:t>
      </w:r>
    </w:p>
    <w:p>
      <w:r>
        <w:t>2. Lancer une première collecte auprès de 30 à 50 répondants.</w:t>
      </w:r>
    </w:p>
    <w:p>
      <w:r>
        <w:t>3. Contrôler les réponses incohérentes et documenter les limites de l’échantillon.</w:t>
      </w:r>
    </w:p>
    <w:p>
      <w:r>
        <w:t>4. Publier uniquement des tendances, sans prétendre représenter l’ensemble du secteur.</w:t>
      </w:r>
    </w:p>
    <w:p>
      <w:r>
        <w:t>5. Réviser la grille une seule fois après le pilote, puis figer la version annuelle.</w:t>
      </w:r>
    </w:p>
    <w:p>
      <w:r>
        <w:t>6. Préparer la première publication du Baromètre Alliance Capital 2026–2027.</w:t>
      </w:r>
    </w:p>
    <w:p>
      <w:pPr>
        <w:pStyle w:val="Heading1"/>
      </w:pPr>
      <w:r>
        <w:t>12 Indicateurs de pilotage commercial</w:t>
      </w:r>
    </w:p>
    <w:p>
      <w:pPr>
        <w:pStyle w:val="ListBullet"/>
      </w:pPr>
      <w:r>
        <w:t>Nombre de visiteurs ayant commencé le mini baromètre</w:t>
      </w:r>
    </w:p>
    <w:p>
      <w:pPr>
        <w:pStyle w:val="ListBullet"/>
      </w:pPr>
      <w:r>
        <w:t>Taux de questionnaires terminés</w:t>
      </w:r>
    </w:p>
    <w:p>
      <w:pPr>
        <w:pStyle w:val="ListBullet"/>
      </w:pPr>
      <w:r>
        <w:t>Part des utilisateurs achetant le rapport complet</w:t>
      </w:r>
    </w:p>
    <w:p>
      <w:pPr>
        <w:pStyle w:val="ListBullet"/>
      </w:pPr>
      <w:r>
        <w:t>Part des acheteurs réservant un diagnostic expert</w:t>
      </w:r>
    </w:p>
    <w:p>
      <w:pPr>
        <w:pStyle w:val="ListBullet"/>
      </w:pPr>
      <w:r>
        <w:t>Axes de fragilité les plus fréquents</w:t>
      </w:r>
    </w:p>
    <w:p>
      <w:pPr>
        <w:pStyle w:val="ListBullet"/>
      </w:pPr>
      <w:r>
        <w:t>Satisfaction après réception du rapport</w:t>
      </w:r>
    </w:p>
    <w:p>
      <w:pPr>
        <w:pStyle w:val="ListBullet"/>
      </w:pPr>
      <w:r>
        <w:t>Nombre de missions signées à la suite du diagnostic</w:t>
      </w:r>
    </w:p>
    <w:p>
      <w:r>
        <w:br/>
        <w:t>Alliance Capital SAS – Baromètre de la maturité des projets à impact – Version pilote 2026–2027</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sz w:val="18"/>
      </w:rPr>
      <w:t>Nous vous remercions pour votre confiance — ALCA, votre partenaire stratégique.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152000" cy="378000"/>
          <wp:docPr id="1" name="Picture 1"/>
          <wp:cNvGraphicFramePr>
            <a:graphicFrameLocks noChangeAspect="1"/>
          </wp:cNvGraphicFramePr>
          <a:graphic>
            <a:graphicData uri="http://schemas.openxmlformats.org/drawingml/2006/picture">
              <pic:pic>
                <pic:nvPicPr>
                  <pic:cNvPr id="0" name="logo_small.png"/>
                  <pic:cNvPicPr/>
                </pic:nvPicPr>
                <pic:blipFill>
                  <a:blip r:embed="rId1"/>
                  <a:stretch>
                    <a:fillRect/>
                  </a:stretch>
                </pic:blipFill>
                <pic:spPr>
                  <a:xfrm>
                    <a:off x="0" y="0"/>
                    <a:ext cx="1152000" cy="378000"/>
                  </a:xfrm>
                  <a:prstGeom prst="rect"/>
                </pic:spPr>
              </pic:pic>
            </a:graphicData>
          </a:graphic>
        </wp:inline>
      </w:drawing>
    </w:r>
  </w:p>
  <w:p>
    <w:pPr>
      <w:jc w:val="center"/>
    </w:pPr>
    <w:r>
      <w:rPr>
        <w:b/>
        <w:sz w:val="18"/>
      </w:rPr>
      <w:t>Nous vous remercions pour votre confiance — ALCA, votre partenaire stratégique.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